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新疆维吾尔自治区农业资源区划和遥感应用中心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开展农业资源区划、生态农业和农业可持续发展的调查 研究工作；开展农业资源和主要农作物种植面积、长势、灾 害及产量等农情信息的遥感监测与分析评估等工作。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新疆维吾尔自治区农业资源区划和遥感应用中心2024年度，实有人数10人，其中：在职人员5人，较上年无变化；离休人员0人，较上年无变化；退休人员5人，较上年无变化；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新疆维吾尔自治区农业资源区划和遥感应用中心无下属预算单位，下设1个</w:t>
      </w:r>
      <w:r>
        <w:rPr>
          <w:rFonts w:hint="eastAsia" w:ascii="仿宋_GB2312" w:eastAsia="仿宋_GB2312"/>
          <w:b w:val="0"/>
          <w:sz w:val="32"/>
          <w:szCs w:val="32"/>
          <w:lang w:val="en-US" w:eastAsia="zh-CN"/>
        </w:rPr>
        <w:t>科室</w:t>
      </w:r>
      <w:r>
        <w:rPr>
          <w:rFonts w:ascii="仿宋_GB2312" w:eastAsia="仿宋_GB2312"/>
          <w:b w:val="0"/>
          <w:sz w:val="32"/>
          <w:szCs w:val="32"/>
        </w:rPr>
        <w:t>，分别是：办公室。</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2024年度收入总计217.50万元，其中：本年收入合计177.72万元，使用非财政拨款结余（含专用结余）0.00万元，年初结转和结余39.77万元。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2024年度支出总计217.50万元，其中：本年支出合计177.82万元，结余分配0.00万元，年末结转和结余39.67万元。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收入支出总体与上年相比，减少27.78万元，下降11.33%，主要原因是：本年农业生产发展资金（遥感专项）资金减少。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本年收入177.72万元，其中：财政拨款收入177.63万元,占99.95%；上级补助收入0.00万元,占0.00%；事业收入0.00万元，占0.00%；经营收入0.00万元,占0.00%；附属单位上缴收入0.00万元，占0.00%；其他收入0.09万元，占0.05%。</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本年支出177.82万元，其中：基本支出117.82万元，占66.26%；项目支出60.00万元，占33.74%；上缴上级支出0.00万元，占0.00%；经营支出0.00万元，占0.00%；对附属单位补助支出0.00万元，占0.00%。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2024年度财政拨款收入总计182.34万元，其中：年初财政拨款结转和结余4.70万元，本年财政拨款收入177.63万元。财政拨款支出总计182.34万元，其中：年末财政拨款结转和结余4.51万元，本年财政拨款支出177.82万元。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27.87万元，下降13.26%，主要原因是：本年农业生产发展资金（遥感专项）资金减少。与年初预算相比，年初预算数175.77万元，决算数182.34万元，预决算差异率3.74%，主要原因是：</w:t>
      </w:r>
      <w:r>
        <w:rPr>
          <w:rFonts w:hint="eastAsia" w:ascii="仿宋_GB2312" w:eastAsia="仿宋_GB2312"/>
          <w:b w:val="0"/>
          <w:sz w:val="32"/>
          <w:szCs w:val="32"/>
          <w:lang w:val="en-US" w:eastAsia="zh-CN"/>
        </w:rPr>
        <w:t>年中追加“民族团结一家亲”结亲路费、在职人员绩效奖</w:t>
      </w:r>
      <w:r>
        <w:rPr>
          <w:rFonts w:ascii="仿宋_GB2312" w:eastAsia="仿宋_GB2312"/>
          <w:b w:val="0"/>
          <w:sz w:val="32"/>
          <w:szCs w:val="32"/>
        </w:rPr>
        <w:t>，导致预决算存在差异。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177.82万元，占本年支出合计的100.00%。与上年相比，减少27.68万元，下降13.47%，主要原因是：本年农业生产发展资金（遥感专项）资金减少。与年初预算相比，年初预算数175.77万元，决算数177.82万元，预决算差异率1.17%，主要原因是：</w:t>
      </w:r>
      <w:r>
        <w:rPr>
          <w:rFonts w:hint="eastAsia" w:ascii="仿宋_GB2312" w:eastAsia="仿宋_GB2312"/>
          <w:b w:val="0"/>
          <w:sz w:val="32"/>
          <w:szCs w:val="32"/>
          <w:lang w:val="en-US" w:eastAsia="zh-CN"/>
        </w:rPr>
        <w:t>年中追加“民族团结一家亲”结亲路费</w:t>
      </w:r>
      <w:r>
        <w:rPr>
          <w:rFonts w:ascii="仿宋_GB2312" w:eastAsia="仿宋_GB2312"/>
          <w:b w:val="0"/>
          <w:sz w:val="32"/>
          <w:szCs w:val="32"/>
        </w:rPr>
        <w:t>，导致预决算存在差异。</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社会保障和就业支出（类）21.25万元，占11.95%。</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卫生健康支出（类）9.25万元，占5.20%。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农林水支出（类）138.80万元，占78.06%。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住房保障支出（类）8.52万元，占4.79%。</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1、社会保障和就业支出（类）行政事业单位养老支出（款）事业单位离退休（项）：支出决算数为11.55万元，比上年决算增加3.40万元，增长41.72%，主要原因是：退休人员基础绩效奖较上年增加，支出增加。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2、社会保障和就业支出（类）行政事业单位养老支出（款）机关事业单位基本养老保险缴费支出（项）：支出决算数为9.70万元，比上年决算减少3.58万元，下降26.96%，主要原因是：</w:t>
      </w:r>
      <w:r>
        <w:rPr>
          <w:rFonts w:hint="eastAsia" w:ascii="仿宋_GB2312" w:eastAsia="仿宋_GB2312"/>
          <w:b w:val="0"/>
          <w:color w:val="auto"/>
          <w:sz w:val="32"/>
          <w:szCs w:val="32"/>
        </w:rPr>
        <w:t>2023年中退休</w:t>
      </w:r>
      <w:r>
        <w:rPr>
          <w:rFonts w:hint="eastAsia" w:ascii="仿宋_GB2312" w:eastAsia="仿宋_GB2312"/>
          <w:b w:val="0"/>
          <w:color w:val="auto"/>
          <w:sz w:val="32"/>
          <w:szCs w:val="32"/>
          <w:lang w:val="en-US" w:eastAsia="zh-CN"/>
        </w:rPr>
        <w:t>1</w:t>
      </w:r>
      <w:r>
        <w:rPr>
          <w:rFonts w:hint="eastAsia" w:ascii="仿宋_GB2312" w:eastAsia="仿宋_GB2312"/>
          <w:b w:val="0"/>
          <w:color w:val="auto"/>
          <w:sz w:val="32"/>
          <w:szCs w:val="32"/>
        </w:rPr>
        <w:t>人，2023年缴纳</w:t>
      </w:r>
      <w:r>
        <w:rPr>
          <w:rFonts w:hint="eastAsia" w:ascii="仿宋_GB2312" w:eastAsia="仿宋_GB2312"/>
          <w:b w:val="0"/>
          <w:color w:val="auto"/>
          <w:sz w:val="32"/>
          <w:szCs w:val="32"/>
          <w:lang w:eastAsia="zh-CN"/>
        </w:rPr>
        <w:t>此人</w:t>
      </w:r>
      <w:bookmarkStart w:id="0" w:name="_GoBack"/>
      <w:bookmarkEnd w:id="0"/>
      <w:r>
        <w:rPr>
          <w:rFonts w:hint="eastAsia" w:ascii="仿宋_GB2312" w:eastAsia="仿宋_GB2312"/>
          <w:b w:val="0"/>
          <w:color w:val="auto"/>
          <w:sz w:val="32"/>
          <w:szCs w:val="32"/>
        </w:rPr>
        <w:t>养老保险，本年全年不保障此人经费，导致</w:t>
      </w:r>
      <w:r>
        <w:rPr>
          <w:rFonts w:hint="eastAsia" w:ascii="仿宋_GB2312" w:eastAsia="仿宋_GB2312"/>
          <w:b w:val="0"/>
          <w:color w:val="auto"/>
          <w:sz w:val="32"/>
          <w:szCs w:val="32"/>
          <w:lang w:eastAsia="zh-CN"/>
        </w:rPr>
        <w:t>缴费支出</w:t>
      </w:r>
      <w:r>
        <w:rPr>
          <w:rFonts w:hint="eastAsia" w:ascii="仿宋_GB2312" w:eastAsia="仿宋_GB2312"/>
          <w:b w:val="0"/>
          <w:color w:val="auto"/>
          <w:sz w:val="32"/>
          <w:szCs w:val="32"/>
        </w:rPr>
        <w:t>减少</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15.32万元，下降100.00%，主要原因是：本年无新增退休人员，无职业年金缴费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4.86万元，比上年决算减少1.66万元，下降25.46%，主要原因是：根据社保缴费明细单，退休人员医疗和在职人员医疗合并缴纳，本年根据政策要求，退休人员医疗不再缴纳医疗保险，导致事业单位医疗较上年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4.39万元，比上年决算减少1.69万元，下降27.80%，主要原因是：根据社保缴费明细单，退休人员医疗和在职人员医疗合并缴纳，本年根据政策要求，退休人员医疗不再缴纳医疗保险，导致公务员医疗补助较上年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6、农林水支出（类）农业农村（款）事业运行（项）：支出决算数为78.80万元，比上年决算减少9.31万元，下降10.57%，主要原因是：严控经费支出，厉行节约，减少经费支出。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7、农林水支出（类）农业农村（款）农业生产发展（项）：支出决算数为60.00万元，与上年相比无变化，主要原因是：本单位</w:t>
      </w:r>
      <w:r>
        <w:rPr>
          <w:rFonts w:hint="eastAsia" w:ascii="仿宋_GB2312" w:eastAsia="仿宋_GB2312"/>
          <w:b w:val="0"/>
          <w:sz w:val="32"/>
          <w:szCs w:val="32"/>
        </w:rPr>
        <w:t>自治区农业生产发展资金（遥感监测专项）</w:t>
      </w:r>
      <w:r>
        <w:rPr>
          <w:rFonts w:hint="eastAsia" w:ascii="仿宋_GB2312" w:eastAsia="仿宋_GB2312"/>
          <w:b w:val="0"/>
          <w:sz w:val="32"/>
          <w:szCs w:val="32"/>
          <w:lang w:eastAsia="zh-CN"/>
        </w:rPr>
        <w:t>项目</w:t>
      </w:r>
      <w:r>
        <w:rPr>
          <w:rFonts w:ascii="仿宋_GB2312" w:eastAsia="仿宋_GB2312"/>
          <w:b w:val="0"/>
          <w:sz w:val="32"/>
          <w:szCs w:val="32"/>
        </w:rPr>
        <w:t>支出与上年一致，无差异。</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8、住房保障支出（类）住房改革支出（款）住房公积金（项）：支出决算数为8.52万元，比上年决算增加0.48万元，增长5.97%，主要原因是：在职人员住房公积金缴费基数调增，支出增加。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117.82万元，其中：人员经费109.68万元，包括：基本工资、津贴补贴、奖金、绩效工资、机关事业单位基本养老保险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公用经费8.15万元，包括：办公费、水费、电费、邮电费、差旅费、工会经费、福利费、公务用车运行维护费、其他交通费用和其他商品和服务支出。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2024年度财政拨款“三公”经费支出2.00万元，与上年相比无变化，主要原因是：</w:t>
      </w:r>
      <w:r>
        <w:rPr>
          <w:rFonts w:hint="eastAsia" w:ascii="仿宋_GB2312" w:hAnsi="仿宋_GB2312" w:eastAsia="仿宋_GB2312" w:cs="仿宋_GB2312"/>
          <w:b w:val="0"/>
          <w:sz w:val="32"/>
          <w:szCs w:val="32"/>
          <w:lang w:val="en-US" w:eastAsia="zh-CN"/>
        </w:rPr>
        <w:t>本单位财政拨款“三公”经费与上年一致无变化</w:t>
      </w:r>
      <w:r>
        <w:rPr>
          <w:rFonts w:ascii="仿宋_GB2312" w:eastAsia="仿宋_GB2312"/>
          <w:b w:val="0"/>
          <w:sz w:val="32"/>
          <w:szCs w:val="32"/>
        </w:rPr>
        <w:t>。其中：因公出国（境）费支出0.00万元,占0.00%，与上年相比无变化，主要原因是：我单位无因公出国（境）费；公务用车购置及运行维护费支出2.00万元，占100.00%，与上年相比无变化，主要原因是：</w:t>
      </w:r>
      <w:r>
        <w:rPr>
          <w:rFonts w:hint="eastAsia" w:ascii="仿宋_GB2312" w:hAnsi="仿宋_GB2312" w:eastAsia="仿宋_GB2312" w:cs="仿宋_GB2312"/>
          <w:b w:val="0"/>
          <w:sz w:val="32"/>
          <w:szCs w:val="32"/>
          <w:lang w:val="en-US" w:eastAsia="zh-CN"/>
        </w:rPr>
        <w:t>本单位财政拨款“三公”经费与上年一致无变化</w:t>
      </w:r>
      <w:r>
        <w:rPr>
          <w:rFonts w:ascii="仿宋_GB2312" w:eastAsia="仿宋_GB2312"/>
          <w:b w:val="0"/>
          <w:sz w:val="32"/>
          <w:szCs w:val="32"/>
        </w:rPr>
        <w:t>；公务接待费支出0.00万元，占0.00%，与上年相比无变化，主要原因是：我单位无公务接待费。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2.00万元，其中：公务用车购置费0.00万元，公务用车运行维护费2.00万元。公务用车运行维护费开支内容包括汽车修理费、汽车燃油费、汽车保险费。公务用车购置数0辆，公务用车保有量2辆。国有资产占用情况中固定资产车辆2辆，与公务用车保有量差异原因是：固定资产车辆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2.00万元，决算数2.00万元，预决算差异率0.00%，主要原因是：严格按照预算执行，预决算无差异。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2.00万元，决算数2.00万元，预决算差异率0.00%，主要原因是：严格按照预算执行，预决算无差异；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2024年度新疆维吾尔自治区农业资源区划和遥感应用中心（事业单位）公用经费支出8.15万元，比上年减少0.85万元，下降9.44%，主要原因是：工会及福利费减少。</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2024年度政府采购支出总额4.24万元，其中：政府采购货物支出1.39万元、政府采购工程支出0.00万元、政府采购服务支出2.85万元。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授予中小企业合同金额3.00万元，占政府采购支出总额的70.75%，其中：授予小微企业合同金额3.00万元，占政府采购支出总额的70.75%。</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73.28万元，其中：副部（省）级及以上领导用车0辆、主要负责人用车0辆、机要通信用车0辆、应急保障用车0辆、执法执勤用车0辆、特种专业技术用车2辆、离退休干部服务用车0辆、其他用车0辆，其他用车主要是：</w:t>
      </w:r>
      <w:r>
        <w:rPr>
          <w:rFonts w:hint="eastAsia" w:ascii="仿宋_GB2312" w:eastAsia="仿宋_GB2312"/>
          <w:b w:val="0"/>
          <w:sz w:val="32"/>
          <w:szCs w:val="32"/>
          <w:lang w:val="en-US" w:eastAsia="zh-CN"/>
        </w:rPr>
        <w:t>本单位无其他用车</w:t>
      </w:r>
      <w:r>
        <w:rPr>
          <w:rFonts w:ascii="仿宋_GB2312" w:eastAsia="仿宋_GB2312"/>
          <w:b w:val="0"/>
          <w:sz w:val="32"/>
          <w:szCs w:val="32"/>
        </w:rPr>
        <w:t>;单价100万元（含）以上设备（不含车辆）0台（套）。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60.00万元，全年执行数60.00万元。预算绩效管理取得的成效：一是积极落实并强化绩效意识，实现预算和绩效管理一体化，严格绩效目标管理，并开展绩效运行监控，针对发现项目开展过程中的问题及时处理；二是始终坚持节约的原则，所有项目资金使用方向和列支科目均按照预算经济分类科目进行，项目资金的支出额度与申报预算额度基本一致，项目实施进度符合进度的要求，资金全部支出用到了项目上，做到了项目资金的专款专用。发现的问题及原因：一是在细化项目实施方案和资金管理制度方面存在不足。承担的全区小麦本底调查和主要农作物地面样方监测工作区域广、工作内容繁杂，一部分工作需要与第三方开展业务委托。分项任务的方案制定不够细致，执行单位的资金管理制度细化不够，对可能存在的影响项目全面实施完成的有关因素考虑不全面，未及时制定其他加快实施的应对措；二是在明确项目绩效管理工作责任方面存在不足。该项目的分项指标多、技术要求高、执行和落实到位需要加大分工协作。下一步改进措施：一是加强制度建设。认真学习中央和自治区、农业农村厅关于加强项目管理和资金使用的一系列法律法规、重要文件和制度规范，增强“红线”意识，建立健全制度，严格按照农业项目资金使用和管理规定做好各项管理和实施工作；二是压实责任分工。按照项目内容和工作要求，进一步明确各环节工作和分项任务的责任主体和分工任务，切实压实单位主要负责人的主要责任和分项任务的具体责任人，确保各项实施任务有效开展和经常性督促落实。具体附项目支出绩效自评表</w:t>
      </w:r>
      <w:r>
        <w:rPr>
          <w:rFonts w:hint="eastAsia" w:ascii="仿宋_GB2312" w:eastAsia="仿宋_GB2312"/>
          <w:b w:val="0"/>
          <w:sz w:val="32"/>
          <w:szCs w:val="32"/>
          <w:lang w:val="en-US" w:eastAsia="zh-CN"/>
        </w:rPr>
        <w:t>及自评报告</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pPr>
      <w:r>
        <w:rPr>
          <w:rFonts w:ascii="仿宋_GB2312" w:eastAsia="仿宋_GB2312"/>
          <w:b w:val="0"/>
          <w:sz w:val="32"/>
          <w:szCs w:val="32"/>
        </w:rPr>
        <w:t>本单位无其他需说明事项。</w:t>
      </w: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Cambria">
    <w:altName w:val="Noto Sans Syriac Eastern"/>
    <w:panose1 w:val="02040503050406030204"/>
    <w:charset w:val="00"/>
    <w:family w:val="auto"/>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1A7AFF1D"/>
    <w:rsid w:val="2A216331"/>
    <w:rsid w:val="56FEA5C8"/>
    <w:rsid w:val="FEFF1A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5630</Words>
  <Characters>6184</Characters>
  <TotalTime>8</TotalTime>
  <ScaleCrop>false</ScaleCrop>
  <LinksUpToDate>false</LinksUpToDate>
  <CharactersWithSpaces>6196</CharactersWithSpaces>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2025-08-28T02:54:00Z</dcterms:created>
  <dc:creator>rs</dc:creator>
  <cp:lastModifiedBy>user</cp:lastModifiedBy>
  <dcterms:modified xsi:type="dcterms:W3CDTF">2025-09-24T20:12:46Z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eyJoZGlkIjoiMzRlNzE5MDg5NzU1Y2U3MDQ3MTM0ZDU3ZjVmYjk5OTYiLCJ1c2VySWQiOiIzNDQxNzM1ODEifQ==</vt:lpwstr>
  </property>
  <property fmtid="{D5CDD505-2E9C-101B-9397-08002B2CF9AE}" pid="3" name="KSOProductBuildVer">
    <vt:lpwstr>2052-11.8.2.10290</vt:lpwstr>
  </property>
  <property fmtid="{D5CDD505-2E9C-101B-9397-08002B2CF9AE}" pid="4" name="ICV">
    <vt:lpwstr>FF699A2950944DE5AFDBDCB33E3CBF42_12</vt:lpwstr>
  </property>
</Properties>
</file>